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B0F93" w:rsidRPr="006D327D" w:rsidRDefault="00421EAB" w:rsidP="00BB293A">
      <w:pPr>
        <w:rPr>
          <w:b/>
          <w:bCs/>
          <w:sz w:val="23"/>
          <w:szCs w:val="23"/>
        </w:rPr>
      </w:pPr>
      <w:bookmarkStart w:id="0" w:name="_GoBack"/>
      <w:bookmarkEnd w:id="0"/>
      <w:r w:rsidRPr="006D327D">
        <w:rPr>
          <w:b/>
          <w:bCs/>
          <w:color w:val="000000"/>
          <w:sz w:val="23"/>
          <w:szCs w:val="23"/>
        </w:rPr>
        <w:t xml:space="preserve">RESOLUÇÃO CSDP Nº </w:t>
      </w:r>
      <w:r w:rsidR="00453C81" w:rsidRPr="006D327D">
        <w:rPr>
          <w:b/>
          <w:bCs/>
          <w:color w:val="000000"/>
          <w:sz w:val="23"/>
          <w:szCs w:val="23"/>
        </w:rPr>
        <w:t>237</w:t>
      </w:r>
      <w:r w:rsidR="00AC6724" w:rsidRPr="006D327D">
        <w:rPr>
          <w:b/>
          <w:bCs/>
          <w:color w:val="000000"/>
          <w:sz w:val="23"/>
          <w:szCs w:val="23"/>
        </w:rPr>
        <w:t xml:space="preserve">, DE </w:t>
      </w:r>
      <w:r w:rsidR="00453C81" w:rsidRPr="006D327D">
        <w:rPr>
          <w:b/>
          <w:bCs/>
          <w:color w:val="000000"/>
          <w:sz w:val="23"/>
          <w:szCs w:val="23"/>
        </w:rPr>
        <w:t>2</w:t>
      </w:r>
      <w:r w:rsidR="0027103D" w:rsidRPr="006D327D">
        <w:rPr>
          <w:b/>
          <w:bCs/>
          <w:color w:val="000000"/>
          <w:sz w:val="23"/>
          <w:szCs w:val="23"/>
        </w:rPr>
        <w:t>5</w:t>
      </w:r>
      <w:r w:rsidR="00DC17D3" w:rsidRPr="006D327D">
        <w:rPr>
          <w:b/>
          <w:bCs/>
          <w:color w:val="000000"/>
          <w:sz w:val="23"/>
          <w:szCs w:val="23"/>
        </w:rPr>
        <w:t xml:space="preserve"> DE </w:t>
      </w:r>
      <w:r w:rsidR="0027103D" w:rsidRPr="006D327D">
        <w:rPr>
          <w:b/>
          <w:bCs/>
          <w:color w:val="000000"/>
          <w:sz w:val="23"/>
          <w:szCs w:val="23"/>
        </w:rPr>
        <w:t>OUTUBRO</w:t>
      </w:r>
      <w:r w:rsidR="00DC17D3" w:rsidRPr="006D327D">
        <w:rPr>
          <w:b/>
          <w:bCs/>
          <w:color w:val="000000"/>
          <w:sz w:val="23"/>
          <w:szCs w:val="23"/>
        </w:rPr>
        <w:t xml:space="preserve"> DE 201</w:t>
      </w:r>
      <w:r w:rsidR="009075BE" w:rsidRPr="006D327D">
        <w:rPr>
          <w:b/>
          <w:bCs/>
          <w:color w:val="000000"/>
          <w:sz w:val="23"/>
          <w:szCs w:val="23"/>
        </w:rPr>
        <w:t>8</w:t>
      </w:r>
      <w:r w:rsidR="00DC17D3" w:rsidRPr="006D327D">
        <w:rPr>
          <w:b/>
          <w:bCs/>
          <w:color w:val="000000"/>
          <w:sz w:val="23"/>
          <w:szCs w:val="23"/>
        </w:rPr>
        <w:t>.</w:t>
      </w:r>
    </w:p>
    <w:p w:rsidR="000660B7" w:rsidRPr="006D327D" w:rsidRDefault="000660B7" w:rsidP="00BB293A">
      <w:pPr>
        <w:jc w:val="both"/>
        <w:rPr>
          <w:sz w:val="23"/>
          <w:szCs w:val="23"/>
        </w:rPr>
      </w:pPr>
    </w:p>
    <w:p w:rsidR="006F5FB1" w:rsidRPr="006D327D" w:rsidRDefault="006F5FB1" w:rsidP="006D327D">
      <w:pPr>
        <w:ind w:left="3402"/>
        <w:jc w:val="both"/>
        <w:rPr>
          <w:sz w:val="23"/>
          <w:szCs w:val="23"/>
        </w:rPr>
      </w:pPr>
      <w:r w:rsidRPr="006D327D">
        <w:rPr>
          <w:sz w:val="23"/>
          <w:szCs w:val="23"/>
        </w:rPr>
        <w:t xml:space="preserve">Altera a Resolução CSDP Nº </w:t>
      </w:r>
      <w:r w:rsidR="0027103D" w:rsidRPr="006D327D">
        <w:rPr>
          <w:sz w:val="23"/>
          <w:szCs w:val="23"/>
        </w:rPr>
        <w:t>191</w:t>
      </w:r>
      <w:r w:rsidRPr="006D327D">
        <w:rPr>
          <w:sz w:val="23"/>
          <w:szCs w:val="23"/>
        </w:rPr>
        <w:t xml:space="preserve">, de </w:t>
      </w:r>
      <w:r w:rsidR="0027103D" w:rsidRPr="006D327D">
        <w:rPr>
          <w:sz w:val="23"/>
          <w:szCs w:val="23"/>
        </w:rPr>
        <w:t>05</w:t>
      </w:r>
      <w:r w:rsidRPr="006D327D">
        <w:rPr>
          <w:sz w:val="23"/>
          <w:szCs w:val="23"/>
        </w:rPr>
        <w:t xml:space="preserve"> de </w:t>
      </w:r>
      <w:r w:rsidR="0027103D" w:rsidRPr="006D327D">
        <w:rPr>
          <w:sz w:val="23"/>
          <w:szCs w:val="23"/>
        </w:rPr>
        <w:t>junho</w:t>
      </w:r>
      <w:r w:rsidR="009075BE" w:rsidRPr="006D327D">
        <w:rPr>
          <w:sz w:val="23"/>
          <w:szCs w:val="23"/>
        </w:rPr>
        <w:t xml:space="preserve"> </w:t>
      </w:r>
      <w:r w:rsidRPr="006D327D">
        <w:rPr>
          <w:sz w:val="23"/>
          <w:szCs w:val="23"/>
        </w:rPr>
        <w:t>de 201</w:t>
      </w:r>
      <w:r w:rsidR="0027103D" w:rsidRPr="006D327D">
        <w:rPr>
          <w:sz w:val="23"/>
          <w:szCs w:val="23"/>
        </w:rPr>
        <w:t>7</w:t>
      </w:r>
      <w:r w:rsidRPr="006D327D">
        <w:rPr>
          <w:sz w:val="23"/>
          <w:szCs w:val="23"/>
        </w:rPr>
        <w:t>,</w:t>
      </w:r>
      <w:r w:rsidR="009075BE" w:rsidRPr="006D327D">
        <w:rPr>
          <w:sz w:val="23"/>
          <w:szCs w:val="23"/>
        </w:rPr>
        <w:t xml:space="preserve"> que dispõe sobre </w:t>
      </w:r>
      <w:r w:rsidR="0027103D" w:rsidRPr="006D327D">
        <w:rPr>
          <w:sz w:val="23"/>
          <w:szCs w:val="23"/>
        </w:rPr>
        <w:t>extensão do gozo de licença-paternidade pelo período de 10 (dez) dias (inclusive para os casos de adoção), aos membros, servidores e Ouvidor-Geral da Defensoria Pública do Estado do Pará e dá outras providências</w:t>
      </w:r>
      <w:r w:rsidRPr="006D327D">
        <w:rPr>
          <w:sz w:val="23"/>
          <w:szCs w:val="23"/>
        </w:rPr>
        <w:t>.</w:t>
      </w:r>
    </w:p>
    <w:p w:rsidR="006F5FB1" w:rsidRPr="006D327D" w:rsidRDefault="006F5FB1" w:rsidP="00F20EAA">
      <w:pPr>
        <w:ind w:left="4253"/>
        <w:jc w:val="both"/>
        <w:rPr>
          <w:sz w:val="23"/>
          <w:szCs w:val="23"/>
        </w:rPr>
      </w:pPr>
    </w:p>
    <w:p w:rsidR="006F5FB1" w:rsidRPr="006D327D" w:rsidRDefault="006F5FB1" w:rsidP="00BB293A">
      <w:pPr>
        <w:jc w:val="both"/>
        <w:rPr>
          <w:sz w:val="23"/>
          <w:szCs w:val="23"/>
        </w:rPr>
      </w:pPr>
      <w:r w:rsidRPr="006D327D">
        <w:rPr>
          <w:sz w:val="23"/>
          <w:szCs w:val="23"/>
        </w:rPr>
        <w:t>O CONSELHO SUPERIOR DA DEFENSORIA PÚBLICA DO ESTADO DO PARÁ, no uso de suas atribuições que lhe confere a Lei Complementar nº 054, de 07 de fevereiro de 2006;</w:t>
      </w:r>
    </w:p>
    <w:p w:rsidR="009075BE" w:rsidRPr="006D327D" w:rsidRDefault="009075BE" w:rsidP="00BB293A">
      <w:pPr>
        <w:jc w:val="both"/>
        <w:rPr>
          <w:sz w:val="23"/>
          <w:szCs w:val="23"/>
        </w:rPr>
      </w:pPr>
    </w:p>
    <w:p w:rsidR="00F20EAA" w:rsidRPr="006D327D" w:rsidRDefault="00F20EAA" w:rsidP="00F20EAA">
      <w:pPr>
        <w:jc w:val="both"/>
        <w:rPr>
          <w:sz w:val="23"/>
          <w:szCs w:val="23"/>
        </w:rPr>
      </w:pPr>
      <w:r w:rsidRPr="006D327D">
        <w:rPr>
          <w:sz w:val="23"/>
          <w:szCs w:val="23"/>
        </w:rPr>
        <w:t>CONSIDERANDO o disposto no art. 10, caput, da Lei Complementar Estadual n°. 054, de 07 de fevereiro de 2006;</w:t>
      </w:r>
    </w:p>
    <w:p w:rsidR="00F20EAA" w:rsidRPr="006D327D" w:rsidRDefault="00F20EAA" w:rsidP="00F20EAA">
      <w:pPr>
        <w:jc w:val="both"/>
        <w:rPr>
          <w:sz w:val="23"/>
          <w:szCs w:val="23"/>
        </w:rPr>
      </w:pPr>
    </w:p>
    <w:p w:rsidR="00F20EAA" w:rsidRPr="006D327D" w:rsidRDefault="00F20EAA" w:rsidP="00F20EAA">
      <w:pPr>
        <w:jc w:val="both"/>
        <w:rPr>
          <w:sz w:val="23"/>
          <w:szCs w:val="23"/>
        </w:rPr>
      </w:pPr>
      <w:r w:rsidRPr="006D327D">
        <w:rPr>
          <w:sz w:val="23"/>
          <w:szCs w:val="23"/>
        </w:rPr>
        <w:t>CONSIDERANDO a atribuição do Conselho Superior da Defensoria Pública do Pará no exercício do seu poder de normatização, conforme art. 11, I, da Lei Complementar Federal n.º54, de 07 de fevereiro de 2006;</w:t>
      </w:r>
    </w:p>
    <w:p w:rsidR="00F20EAA" w:rsidRPr="006D327D" w:rsidRDefault="00F20EAA" w:rsidP="00F20EAA">
      <w:pPr>
        <w:jc w:val="both"/>
        <w:rPr>
          <w:sz w:val="23"/>
          <w:szCs w:val="23"/>
        </w:rPr>
      </w:pPr>
    </w:p>
    <w:p w:rsidR="00F20EAA" w:rsidRPr="006D327D" w:rsidRDefault="00F20EAA" w:rsidP="00F20EAA">
      <w:pPr>
        <w:jc w:val="both"/>
        <w:rPr>
          <w:sz w:val="23"/>
          <w:szCs w:val="23"/>
        </w:rPr>
      </w:pPr>
      <w:r w:rsidRPr="006D327D">
        <w:rPr>
          <w:sz w:val="23"/>
          <w:szCs w:val="23"/>
        </w:rPr>
        <w:t>CONSIDERANDO a autonomia funcional e administrativa da Defensoria Pública estabelecida pelo art. 134, §2º da Constituição da República Federativa do Brasil e pelo art. 97-A da Lei Complementar Federal n.º080/94, incluído pela Lei Complementar Federal n.º132/09;</w:t>
      </w:r>
    </w:p>
    <w:p w:rsidR="00F20EAA" w:rsidRPr="006D327D" w:rsidRDefault="00F20EAA" w:rsidP="00F20EAA">
      <w:pPr>
        <w:jc w:val="both"/>
        <w:rPr>
          <w:sz w:val="23"/>
          <w:szCs w:val="23"/>
        </w:rPr>
      </w:pPr>
    </w:p>
    <w:p w:rsidR="00F20EAA" w:rsidRPr="006D327D" w:rsidRDefault="00F20EAA" w:rsidP="00F20EAA">
      <w:pPr>
        <w:jc w:val="both"/>
        <w:rPr>
          <w:sz w:val="23"/>
          <w:szCs w:val="23"/>
        </w:rPr>
      </w:pPr>
      <w:r w:rsidRPr="006D327D">
        <w:rPr>
          <w:sz w:val="23"/>
          <w:szCs w:val="23"/>
        </w:rPr>
        <w:t xml:space="preserve">CONSIDERANDO o princípio constitucional do melhor interesse da criança e a garantia do direito fundamental ao pleno convívio familiar; </w:t>
      </w:r>
    </w:p>
    <w:p w:rsidR="00F20EAA" w:rsidRPr="006D327D" w:rsidRDefault="00F20EAA" w:rsidP="00F20EAA">
      <w:pPr>
        <w:jc w:val="both"/>
        <w:rPr>
          <w:sz w:val="23"/>
          <w:szCs w:val="23"/>
        </w:rPr>
      </w:pPr>
    </w:p>
    <w:p w:rsidR="00F20EAA" w:rsidRPr="006D327D" w:rsidRDefault="00F20EAA" w:rsidP="00F20EAA">
      <w:pPr>
        <w:jc w:val="both"/>
        <w:rPr>
          <w:bCs/>
          <w:color w:val="000000"/>
          <w:sz w:val="23"/>
          <w:szCs w:val="23"/>
        </w:rPr>
      </w:pPr>
      <w:r w:rsidRPr="006D327D">
        <w:rPr>
          <w:bCs/>
          <w:color w:val="000000"/>
          <w:sz w:val="23"/>
          <w:szCs w:val="23"/>
        </w:rPr>
        <w:t>CONSIDERANDO as disposições contidas no art. 3º, 4º, I da lei 13</w:t>
      </w:r>
      <w:r w:rsidRPr="006D327D">
        <w:rPr>
          <w:bCs/>
          <w:color w:val="000000"/>
          <w:sz w:val="23"/>
          <w:szCs w:val="23"/>
        </w:rPr>
        <w:t>.</w:t>
      </w:r>
      <w:r w:rsidRPr="006D327D">
        <w:rPr>
          <w:bCs/>
          <w:color w:val="000000"/>
          <w:sz w:val="23"/>
          <w:szCs w:val="23"/>
        </w:rPr>
        <w:t>257/2016 e art. 22 da Lei 8</w:t>
      </w:r>
      <w:r w:rsidRPr="006D327D">
        <w:rPr>
          <w:bCs/>
          <w:color w:val="000000"/>
          <w:sz w:val="23"/>
          <w:szCs w:val="23"/>
        </w:rPr>
        <w:t>.</w:t>
      </w:r>
      <w:r w:rsidRPr="006D327D">
        <w:rPr>
          <w:bCs/>
          <w:color w:val="000000"/>
          <w:sz w:val="23"/>
          <w:szCs w:val="23"/>
        </w:rPr>
        <w:t>069/1990, todas no sentido de que cabe ao Es</w:t>
      </w:r>
      <w:r w:rsidRPr="006D327D">
        <w:rPr>
          <w:bCs/>
          <w:color w:val="000000"/>
          <w:sz w:val="23"/>
          <w:szCs w:val="23"/>
        </w:rPr>
        <w:t>tado Brasileiro estabelecer polí</w:t>
      </w:r>
      <w:r w:rsidRPr="006D327D">
        <w:rPr>
          <w:bCs/>
          <w:color w:val="000000"/>
          <w:sz w:val="23"/>
          <w:szCs w:val="23"/>
        </w:rPr>
        <w:t>ticas públicas que salvaguardem o melhor interesse da criança, em especial na primeira infância;</w:t>
      </w:r>
    </w:p>
    <w:p w:rsidR="00F20EAA" w:rsidRPr="006D327D" w:rsidRDefault="00F20EAA" w:rsidP="00F20EAA">
      <w:pPr>
        <w:jc w:val="both"/>
        <w:rPr>
          <w:sz w:val="23"/>
          <w:szCs w:val="23"/>
        </w:rPr>
      </w:pPr>
    </w:p>
    <w:p w:rsidR="00F20EAA" w:rsidRPr="006D327D" w:rsidRDefault="00F20EAA" w:rsidP="00F20EAA">
      <w:pPr>
        <w:jc w:val="both"/>
        <w:rPr>
          <w:sz w:val="23"/>
          <w:szCs w:val="23"/>
        </w:rPr>
      </w:pPr>
      <w:r w:rsidRPr="006D327D">
        <w:rPr>
          <w:sz w:val="23"/>
          <w:szCs w:val="23"/>
        </w:rPr>
        <w:t xml:space="preserve">CONSIDERANDO que a </w:t>
      </w:r>
      <w:proofErr w:type="spellStart"/>
      <w:r w:rsidRPr="006D327D">
        <w:rPr>
          <w:sz w:val="23"/>
          <w:szCs w:val="23"/>
        </w:rPr>
        <w:t>licença-paternidade</w:t>
      </w:r>
      <w:proofErr w:type="spellEnd"/>
      <w:r w:rsidRPr="006D327D">
        <w:rPr>
          <w:sz w:val="23"/>
          <w:szCs w:val="23"/>
        </w:rPr>
        <w:t xml:space="preserve"> é um direito assegurado aos membros e servidores da Defensoria Pública do Estado do Pará prevista no art. 91 da Lei n.°5.810, de 24 de janeiro de 1994, que dispõe sobre o Regime Jurídico Único dos Servidores Públicos Civis da Administração Direta, das Autarquias e das Fundações Públicas do Estado do Pará;</w:t>
      </w:r>
    </w:p>
    <w:p w:rsidR="00F20EAA" w:rsidRPr="006D327D" w:rsidRDefault="00F20EAA" w:rsidP="00F20EAA">
      <w:pPr>
        <w:jc w:val="both"/>
        <w:rPr>
          <w:sz w:val="23"/>
          <w:szCs w:val="23"/>
        </w:rPr>
      </w:pPr>
    </w:p>
    <w:p w:rsidR="00F20EAA" w:rsidRPr="006D327D" w:rsidRDefault="00F20EAA" w:rsidP="00F20EAA">
      <w:pPr>
        <w:jc w:val="both"/>
        <w:rPr>
          <w:sz w:val="23"/>
          <w:szCs w:val="23"/>
        </w:rPr>
      </w:pPr>
      <w:r w:rsidRPr="006D327D">
        <w:rPr>
          <w:sz w:val="23"/>
          <w:szCs w:val="23"/>
        </w:rPr>
        <w:t>CONSIDERANDO que a extensão do mencionado direito está asseg</w:t>
      </w:r>
      <w:r w:rsidRPr="006D327D">
        <w:rPr>
          <w:sz w:val="23"/>
          <w:szCs w:val="23"/>
        </w:rPr>
        <w:t>urada</w:t>
      </w:r>
      <w:r w:rsidRPr="006D327D">
        <w:rPr>
          <w:sz w:val="23"/>
          <w:szCs w:val="23"/>
        </w:rPr>
        <w:t xml:space="preserve"> aos trabalhadores regidos pela CLT (Lei n.°13.257/16), aos servidores públicos federais submetidos à Lei n.°8.112/90 (Decreto Federal n.°8.737/16), aos servidores e membros do Ministério Público Federal (Portaria MPU n.°36, de 28 de abril de 2016);</w:t>
      </w:r>
    </w:p>
    <w:p w:rsidR="00F20EAA" w:rsidRPr="006D327D" w:rsidRDefault="00F20EAA" w:rsidP="00F20EAA">
      <w:pPr>
        <w:jc w:val="both"/>
        <w:rPr>
          <w:sz w:val="23"/>
          <w:szCs w:val="23"/>
        </w:rPr>
      </w:pPr>
    </w:p>
    <w:p w:rsidR="00F20EAA" w:rsidRPr="006D327D" w:rsidRDefault="00F20EAA" w:rsidP="00F20EAA">
      <w:pPr>
        <w:jc w:val="both"/>
        <w:rPr>
          <w:sz w:val="23"/>
          <w:szCs w:val="23"/>
        </w:rPr>
      </w:pPr>
      <w:r w:rsidRPr="006D327D">
        <w:rPr>
          <w:sz w:val="23"/>
          <w:szCs w:val="23"/>
        </w:rPr>
        <w:t xml:space="preserve">CONSIDERANDO que a extensão do </w:t>
      </w:r>
      <w:r w:rsidRPr="006D327D">
        <w:rPr>
          <w:sz w:val="23"/>
          <w:szCs w:val="23"/>
        </w:rPr>
        <w:t>mencionado direito foi concedida</w:t>
      </w:r>
      <w:r w:rsidRPr="006D327D">
        <w:rPr>
          <w:sz w:val="23"/>
          <w:szCs w:val="23"/>
        </w:rPr>
        <w:t xml:space="preserve"> a todos os membros da Magistratura por decisão do Conselho Nacional de Justiça, nos autos do Pedido de Providências n.°0002352-96.2016.2.00.000, de autoria da Associação dos Magistrados Brasileiros –AMB em conjunto com a Associação Nacional dos Magistrados da Justiça do Trabalho – ANAMATRA e a Associação dos Juízes Federais do Brasil -AJUFE;</w:t>
      </w:r>
    </w:p>
    <w:p w:rsidR="00F20EAA" w:rsidRPr="006D327D" w:rsidRDefault="00F20EAA" w:rsidP="00F20EAA">
      <w:pPr>
        <w:jc w:val="both"/>
        <w:rPr>
          <w:sz w:val="23"/>
          <w:szCs w:val="23"/>
        </w:rPr>
      </w:pPr>
    </w:p>
    <w:p w:rsidR="00F20EAA" w:rsidRPr="006D327D" w:rsidRDefault="00F20EAA" w:rsidP="00BB293A">
      <w:pPr>
        <w:jc w:val="both"/>
        <w:rPr>
          <w:sz w:val="23"/>
          <w:szCs w:val="23"/>
        </w:rPr>
      </w:pPr>
      <w:r w:rsidRPr="006D327D">
        <w:rPr>
          <w:sz w:val="23"/>
          <w:szCs w:val="23"/>
        </w:rPr>
        <w:t>CONSIDERANDO a simetria constitucional entre a Defensoria Pública, Ministério Público e o Poder Judiciário;</w:t>
      </w:r>
    </w:p>
    <w:p w:rsidR="00454A11" w:rsidRPr="006D327D" w:rsidRDefault="00454A11" w:rsidP="00454A11">
      <w:pPr>
        <w:pStyle w:val="NormalWeb"/>
        <w:spacing w:before="0" w:after="0"/>
        <w:jc w:val="both"/>
        <w:rPr>
          <w:bCs/>
          <w:color w:val="000000"/>
          <w:sz w:val="23"/>
          <w:szCs w:val="23"/>
        </w:rPr>
      </w:pPr>
    </w:p>
    <w:p w:rsidR="009075BE" w:rsidRPr="006D327D" w:rsidRDefault="00F20EAA" w:rsidP="00BB293A">
      <w:pPr>
        <w:pStyle w:val="NormalWeb"/>
        <w:spacing w:before="0" w:after="0"/>
        <w:jc w:val="both"/>
        <w:rPr>
          <w:bCs/>
          <w:color w:val="000000"/>
          <w:sz w:val="23"/>
          <w:szCs w:val="23"/>
        </w:rPr>
      </w:pPr>
      <w:r w:rsidRPr="006D327D">
        <w:rPr>
          <w:bCs/>
          <w:color w:val="000000"/>
          <w:sz w:val="23"/>
          <w:szCs w:val="23"/>
        </w:rPr>
        <w:t xml:space="preserve">CONSIDERANDO a deliberação, por maioria de votos, </w:t>
      </w:r>
      <w:r w:rsidR="009075BE" w:rsidRPr="006D327D">
        <w:rPr>
          <w:bCs/>
          <w:color w:val="000000"/>
          <w:sz w:val="23"/>
          <w:szCs w:val="23"/>
        </w:rPr>
        <w:t>do Egrégio Conselho Superior da Defensoria Pública do Estado do Par</w:t>
      </w:r>
      <w:r w:rsidR="006D327D">
        <w:rPr>
          <w:bCs/>
          <w:color w:val="000000"/>
          <w:sz w:val="23"/>
          <w:szCs w:val="23"/>
        </w:rPr>
        <w:t xml:space="preserve">á no julgamento do </w:t>
      </w:r>
      <w:r w:rsidR="006D327D" w:rsidRPr="006D327D">
        <w:rPr>
          <w:bCs/>
          <w:color w:val="000000"/>
          <w:sz w:val="23"/>
          <w:szCs w:val="23"/>
        </w:rPr>
        <w:t>Processo CSDP nº 442/2018</w:t>
      </w:r>
      <w:r w:rsidR="009075BE" w:rsidRPr="006D327D">
        <w:rPr>
          <w:bCs/>
          <w:color w:val="000000"/>
          <w:sz w:val="23"/>
          <w:szCs w:val="23"/>
        </w:rPr>
        <w:t xml:space="preserve">, na </w:t>
      </w:r>
      <w:r w:rsidR="002E47E7" w:rsidRPr="006D327D">
        <w:rPr>
          <w:bCs/>
          <w:color w:val="000000"/>
          <w:sz w:val="23"/>
          <w:szCs w:val="23"/>
        </w:rPr>
        <w:t>57</w:t>
      </w:r>
      <w:r w:rsidR="009075BE" w:rsidRPr="006D327D">
        <w:rPr>
          <w:bCs/>
          <w:color w:val="000000"/>
          <w:sz w:val="23"/>
          <w:szCs w:val="23"/>
        </w:rPr>
        <w:t xml:space="preserve">ª Sessão </w:t>
      </w:r>
      <w:r w:rsidR="002E47E7" w:rsidRPr="006D327D">
        <w:rPr>
          <w:bCs/>
          <w:color w:val="000000"/>
          <w:sz w:val="23"/>
          <w:szCs w:val="23"/>
        </w:rPr>
        <w:t>Extrao</w:t>
      </w:r>
      <w:r w:rsidR="009075BE" w:rsidRPr="006D327D">
        <w:rPr>
          <w:bCs/>
          <w:color w:val="000000"/>
          <w:sz w:val="23"/>
          <w:szCs w:val="23"/>
        </w:rPr>
        <w:t>rdinária realiza</w:t>
      </w:r>
      <w:r w:rsidR="00BB293A" w:rsidRPr="006D327D">
        <w:rPr>
          <w:bCs/>
          <w:color w:val="000000"/>
          <w:sz w:val="23"/>
          <w:szCs w:val="23"/>
        </w:rPr>
        <w:t xml:space="preserve">da no dia </w:t>
      </w:r>
      <w:r w:rsidR="002E47E7" w:rsidRPr="006D327D">
        <w:rPr>
          <w:bCs/>
          <w:color w:val="000000"/>
          <w:sz w:val="23"/>
          <w:szCs w:val="23"/>
        </w:rPr>
        <w:t>25</w:t>
      </w:r>
      <w:r w:rsidR="00BB293A" w:rsidRPr="006D327D">
        <w:rPr>
          <w:bCs/>
          <w:color w:val="000000"/>
          <w:sz w:val="23"/>
          <w:szCs w:val="23"/>
        </w:rPr>
        <w:t xml:space="preserve"> de </w:t>
      </w:r>
      <w:r w:rsidR="002E47E7" w:rsidRPr="006D327D">
        <w:rPr>
          <w:bCs/>
          <w:color w:val="000000"/>
          <w:sz w:val="23"/>
          <w:szCs w:val="23"/>
        </w:rPr>
        <w:t>outubro</w:t>
      </w:r>
      <w:r w:rsidR="00BB293A" w:rsidRPr="006D327D">
        <w:rPr>
          <w:bCs/>
          <w:color w:val="000000"/>
          <w:sz w:val="23"/>
          <w:szCs w:val="23"/>
        </w:rPr>
        <w:t xml:space="preserve"> de 2018</w:t>
      </w:r>
      <w:r w:rsidR="009075BE" w:rsidRPr="006D327D">
        <w:rPr>
          <w:bCs/>
          <w:color w:val="000000"/>
          <w:sz w:val="23"/>
          <w:szCs w:val="23"/>
        </w:rPr>
        <w:t>;</w:t>
      </w:r>
    </w:p>
    <w:p w:rsidR="002E47E7" w:rsidRPr="006D327D" w:rsidRDefault="002E47E7" w:rsidP="00BB293A">
      <w:pPr>
        <w:pStyle w:val="NormalWeb"/>
        <w:spacing w:before="0" w:after="0"/>
        <w:jc w:val="both"/>
        <w:rPr>
          <w:bCs/>
          <w:color w:val="000000"/>
          <w:sz w:val="23"/>
          <w:szCs w:val="23"/>
        </w:rPr>
      </w:pPr>
    </w:p>
    <w:p w:rsidR="006F5FB1" w:rsidRPr="006D327D" w:rsidRDefault="006F5FB1" w:rsidP="00BB293A">
      <w:pPr>
        <w:jc w:val="both"/>
        <w:rPr>
          <w:sz w:val="23"/>
          <w:szCs w:val="23"/>
        </w:rPr>
      </w:pPr>
      <w:r w:rsidRPr="006D327D">
        <w:rPr>
          <w:sz w:val="23"/>
          <w:szCs w:val="23"/>
        </w:rPr>
        <w:t>RESOLVE:</w:t>
      </w:r>
    </w:p>
    <w:p w:rsidR="006F5FB1" w:rsidRPr="006D327D" w:rsidRDefault="006F5FB1" w:rsidP="00BB293A">
      <w:pPr>
        <w:jc w:val="both"/>
        <w:rPr>
          <w:sz w:val="23"/>
          <w:szCs w:val="23"/>
        </w:rPr>
      </w:pPr>
    </w:p>
    <w:p w:rsidR="006F5FB1" w:rsidRPr="006D327D" w:rsidRDefault="006F5FB1" w:rsidP="00FD177C">
      <w:pPr>
        <w:spacing w:after="240"/>
        <w:jc w:val="both"/>
        <w:rPr>
          <w:sz w:val="23"/>
          <w:szCs w:val="23"/>
        </w:rPr>
      </w:pPr>
      <w:r w:rsidRPr="006D327D">
        <w:rPr>
          <w:sz w:val="23"/>
          <w:szCs w:val="23"/>
        </w:rPr>
        <w:t xml:space="preserve">Art. 1º </w:t>
      </w:r>
      <w:r w:rsidR="009075BE" w:rsidRPr="006D327D">
        <w:rPr>
          <w:sz w:val="23"/>
          <w:szCs w:val="23"/>
        </w:rPr>
        <w:t xml:space="preserve">O art. 1º da Resolução CSDP Nº </w:t>
      </w:r>
      <w:r w:rsidR="005D60F3" w:rsidRPr="006D327D">
        <w:rPr>
          <w:sz w:val="23"/>
          <w:szCs w:val="23"/>
        </w:rPr>
        <w:t>191</w:t>
      </w:r>
      <w:r w:rsidR="009075BE" w:rsidRPr="006D327D">
        <w:rPr>
          <w:sz w:val="23"/>
          <w:szCs w:val="23"/>
        </w:rPr>
        <w:t xml:space="preserve">, de </w:t>
      </w:r>
      <w:r w:rsidR="005D60F3" w:rsidRPr="006D327D">
        <w:rPr>
          <w:sz w:val="23"/>
          <w:szCs w:val="23"/>
        </w:rPr>
        <w:t>05</w:t>
      </w:r>
      <w:r w:rsidR="009075BE" w:rsidRPr="006D327D">
        <w:rPr>
          <w:sz w:val="23"/>
          <w:szCs w:val="23"/>
        </w:rPr>
        <w:t xml:space="preserve"> de </w:t>
      </w:r>
      <w:r w:rsidR="005D60F3" w:rsidRPr="006D327D">
        <w:rPr>
          <w:sz w:val="23"/>
          <w:szCs w:val="23"/>
        </w:rPr>
        <w:t>junho</w:t>
      </w:r>
      <w:r w:rsidR="009075BE" w:rsidRPr="006D327D">
        <w:rPr>
          <w:sz w:val="23"/>
          <w:szCs w:val="23"/>
        </w:rPr>
        <w:t xml:space="preserve"> de 201</w:t>
      </w:r>
      <w:r w:rsidR="005D60F3" w:rsidRPr="006D327D">
        <w:rPr>
          <w:sz w:val="23"/>
          <w:szCs w:val="23"/>
        </w:rPr>
        <w:t>7,</w:t>
      </w:r>
      <w:r w:rsidR="009075BE" w:rsidRPr="006D327D">
        <w:rPr>
          <w:sz w:val="23"/>
          <w:szCs w:val="23"/>
        </w:rPr>
        <w:t xml:space="preserve"> passa a vigorar</w:t>
      </w:r>
      <w:r w:rsidR="00541365" w:rsidRPr="006D327D">
        <w:rPr>
          <w:sz w:val="23"/>
          <w:szCs w:val="23"/>
        </w:rPr>
        <w:t xml:space="preserve"> com </w:t>
      </w:r>
      <w:r w:rsidR="00FD177C" w:rsidRPr="006D327D">
        <w:rPr>
          <w:sz w:val="23"/>
          <w:szCs w:val="23"/>
        </w:rPr>
        <w:t>a</w:t>
      </w:r>
      <w:r w:rsidR="00454A11" w:rsidRPr="006D327D">
        <w:rPr>
          <w:sz w:val="23"/>
          <w:szCs w:val="23"/>
        </w:rPr>
        <w:t>s</w:t>
      </w:r>
      <w:r w:rsidR="00FD177C" w:rsidRPr="006D327D">
        <w:rPr>
          <w:sz w:val="23"/>
          <w:szCs w:val="23"/>
        </w:rPr>
        <w:t xml:space="preserve"> seguinte</w:t>
      </w:r>
      <w:r w:rsidR="00454A11" w:rsidRPr="006D327D">
        <w:rPr>
          <w:sz w:val="23"/>
          <w:szCs w:val="23"/>
        </w:rPr>
        <w:t>s</w:t>
      </w:r>
      <w:r w:rsidR="00FD177C" w:rsidRPr="006D327D">
        <w:rPr>
          <w:sz w:val="23"/>
          <w:szCs w:val="23"/>
        </w:rPr>
        <w:t xml:space="preserve"> </w:t>
      </w:r>
      <w:r w:rsidR="00454A11" w:rsidRPr="006D327D">
        <w:rPr>
          <w:sz w:val="23"/>
          <w:szCs w:val="23"/>
        </w:rPr>
        <w:t>alterações</w:t>
      </w:r>
      <w:r w:rsidR="009075BE" w:rsidRPr="006D327D">
        <w:rPr>
          <w:sz w:val="23"/>
          <w:szCs w:val="23"/>
        </w:rPr>
        <w:t xml:space="preserve">: </w:t>
      </w:r>
    </w:p>
    <w:p w:rsidR="009075BE" w:rsidRPr="006D327D" w:rsidRDefault="009075BE" w:rsidP="00FD177C">
      <w:pPr>
        <w:shd w:val="clear" w:color="auto" w:fill="FFFFFF"/>
        <w:suppressAutoHyphens w:val="0"/>
        <w:jc w:val="both"/>
        <w:rPr>
          <w:bCs/>
          <w:i/>
          <w:color w:val="000000"/>
          <w:sz w:val="23"/>
          <w:szCs w:val="23"/>
          <w:lang w:eastAsia="pt-BR"/>
        </w:rPr>
      </w:pPr>
      <w:r w:rsidRPr="006D327D">
        <w:rPr>
          <w:bCs/>
          <w:i/>
          <w:color w:val="000000"/>
          <w:sz w:val="23"/>
          <w:szCs w:val="23"/>
          <w:lang w:eastAsia="pt-BR"/>
        </w:rPr>
        <w:t xml:space="preserve">“Art. 1° </w:t>
      </w:r>
      <w:r w:rsidR="005D60F3" w:rsidRPr="006D327D">
        <w:rPr>
          <w:bCs/>
          <w:i/>
          <w:color w:val="000000"/>
          <w:sz w:val="23"/>
          <w:szCs w:val="23"/>
          <w:lang w:eastAsia="pt-BR"/>
        </w:rPr>
        <w:t>......................................................................................................................................</w:t>
      </w:r>
      <w:r w:rsidR="00BB293A" w:rsidRPr="006D327D">
        <w:rPr>
          <w:bCs/>
          <w:i/>
          <w:color w:val="000000"/>
          <w:sz w:val="23"/>
          <w:szCs w:val="23"/>
          <w:lang w:eastAsia="pt-BR"/>
        </w:rPr>
        <w:t>.</w:t>
      </w:r>
    </w:p>
    <w:p w:rsidR="005D60F3" w:rsidRPr="006D327D" w:rsidRDefault="005D60F3" w:rsidP="00FD177C">
      <w:pPr>
        <w:shd w:val="clear" w:color="auto" w:fill="FFFFFF"/>
        <w:suppressAutoHyphens w:val="0"/>
        <w:spacing w:after="240"/>
        <w:jc w:val="both"/>
        <w:rPr>
          <w:bCs/>
          <w:i/>
          <w:color w:val="000000"/>
          <w:sz w:val="23"/>
          <w:szCs w:val="23"/>
          <w:lang w:eastAsia="pt-BR"/>
        </w:rPr>
      </w:pPr>
      <w:r w:rsidRPr="006D327D">
        <w:rPr>
          <w:bCs/>
          <w:i/>
          <w:color w:val="000000"/>
          <w:sz w:val="23"/>
          <w:szCs w:val="23"/>
          <w:lang w:eastAsia="pt-BR"/>
        </w:rPr>
        <w:t>.....................................................................................................................................................</w:t>
      </w:r>
    </w:p>
    <w:p w:rsidR="00541365" w:rsidRPr="006D327D" w:rsidRDefault="00541365" w:rsidP="00FD177C">
      <w:pPr>
        <w:shd w:val="clear" w:color="auto" w:fill="FFFFFF"/>
        <w:suppressAutoHyphens w:val="0"/>
        <w:spacing w:after="240"/>
        <w:jc w:val="both"/>
        <w:rPr>
          <w:bCs/>
          <w:i/>
          <w:color w:val="000000"/>
          <w:sz w:val="23"/>
          <w:szCs w:val="23"/>
          <w:lang w:eastAsia="pt-BR"/>
        </w:rPr>
      </w:pPr>
      <w:r w:rsidRPr="006D327D">
        <w:rPr>
          <w:bCs/>
          <w:i/>
          <w:color w:val="000000"/>
          <w:sz w:val="23"/>
          <w:szCs w:val="23"/>
          <w:lang w:eastAsia="pt-BR"/>
        </w:rPr>
        <w:t xml:space="preserve">§ 5º A prorrogação de licença-paternidade depende de requerimento do interessado no prazo de 10 (dez) dias </w:t>
      </w:r>
      <w:r w:rsidR="00FD177C" w:rsidRPr="006D327D">
        <w:rPr>
          <w:bCs/>
          <w:i/>
          <w:color w:val="000000"/>
          <w:sz w:val="23"/>
          <w:szCs w:val="23"/>
          <w:lang w:eastAsia="pt-BR"/>
        </w:rPr>
        <w:t xml:space="preserve">úteis após o parto, adoção ou guarda para fins de adoção e deverá ser instruído com a certidão de nascimento, termo de guarda judicial ou termo de adoção, facultado requerimento </w:t>
      </w:r>
      <w:proofErr w:type="gramStart"/>
      <w:r w:rsidR="00FD177C" w:rsidRPr="006D327D">
        <w:rPr>
          <w:bCs/>
          <w:i/>
          <w:color w:val="000000"/>
          <w:sz w:val="23"/>
          <w:szCs w:val="23"/>
          <w:lang w:eastAsia="pt-BR"/>
        </w:rPr>
        <w:t>único.”</w:t>
      </w:r>
      <w:proofErr w:type="gramEnd"/>
      <w:r w:rsidR="00FD177C" w:rsidRPr="006D327D">
        <w:rPr>
          <w:bCs/>
          <w:i/>
          <w:color w:val="000000"/>
          <w:sz w:val="23"/>
          <w:szCs w:val="23"/>
          <w:lang w:eastAsia="pt-BR"/>
        </w:rPr>
        <w:t xml:space="preserve"> </w:t>
      </w:r>
      <w:r w:rsidR="00FD177C" w:rsidRPr="006D327D">
        <w:rPr>
          <w:bCs/>
          <w:color w:val="000000"/>
          <w:sz w:val="23"/>
          <w:szCs w:val="23"/>
          <w:lang w:eastAsia="pt-BR"/>
        </w:rPr>
        <w:t>(NR)</w:t>
      </w:r>
    </w:p>
    <w:p w:rsidR="005D60F3" w:rsidRPr="006D327D" w:rsidRDefault="00FD177C" w:rsidP="00FD177C">
      <w:pPr>
        <w:shd w:val="clear" w:color="auto" w:fill="FFFFFF"/>
        <w:suppressAutoHyphens w:val="0"/>
        <w:spacing w:after="240"/>
        <w:jc w:val="both"/>
        <w:rPr>
          <w:color w:val="000000"/>
          <w:sz w:val="23"/>
          <w:szCs w:val="23"/>
          <w:lang w:eastAsia="pt-BR"/>
        </w:rPr>
      </w:pPr>
      <w:r w:rsidRPr="006D327D">
        <w:rPr>
          <w:sz w:val="23"/>
          <w:szCs w:val="23"/>
        </w:rPr>
        <w:t xml:space="preserve"> </w:t>
      </w:r>
      <w:r w:rsidR="00541365" w:rsidRPr="006D327D">
        <w:rPr>
          <w:bCs/>
          <w:i/>
          <w:color w:val="000000"/>
          <w:sz w:val="23"/>
          <w:szCs w:val="23"/>
          <w:lang w:eastAsia="pt-BR"/>
        </w:rPr>
        <w:t>§ 6º No caso de nascimento</w:t>
      </w:r>
      <w:r w:rsidR="00453C81" w:rsidRPr="006D327D">
        <w:rPr>
          <w:bCs/>
          <w:i/>
          <w:color w:val="000000"/>
          <w:sz w:val="23"/>
          <w:szCs w:val="23"/>
          <w:lang w:eastAsia="pt-BR"/>
        </w:rPr>
        <w:t>, guarda judicial para adoção ou adoção</w:t>
      </w:r>
      <w:r w:rsidR="00541365" w:rsidRPr="006D327D">
        <w:rPr>
          <w:bCs/>
          <w:i/>
          <w:color w:val="000000"/>
          <w:sz w:val="23"/>
          <w:szCs w:val="23"/>
          <w:lang w:eastAsia="pt-BR"/>
        </w:rPr>
        <w:t xml:space="preserve"> de mais de um filho, a licença prevista no caput deste artigo fica automaticamente acrescida de 1 (um) período para cada </w:t>
      </w:r>
      <w:proofErr w:type="gramStart"/>
      <w:r w:rsidR="00541365" w:rsidRPr="006D327D">
        <w:rPr>
          <w:bCs/>
          <w:i/>
          <w:color w:val="000000"/>
          <w:sz w:val="23"/>
          <w:szCs w:val="23"/>
          <w:lang w:eastAsia="pt-BR"/>
        </w:rPr>
        <w:t>filho</w:t>
      </w:r>
      <w:r w:rsidR="00490E0B" w:rsidRPr="006D327D">
        <w:rPr>
          <w:bCs/>
          <w:i/>
          <w:color w:val="000000"/>
          <w:sz w:val="23"/>
          <w:szCs w:val="23"/>
          <w:lang w:eastAsia="pt-BR"/>
        </w:rPr>
        <w:t>.</w:t>
      </w:r>
      <w:r w:rsidR="00541365" w:rsidRPr="006D327D">
        <w:rPr>
          <w:bCs/>
          <w:i/>
          <w:color w:val="000000"/>
          <w:sz w:val="23"/>
          <w:szCs w:val="23"/>
          <w:lang w:eastAsia="pt-BR"/>
        </w:rPr>
        <w:t>”</w:t>
      </w:r>
      <w:proofErr w:type="gramEnd"/>
      <w:r w:rsidR="005D60F3" w:rsidRPr="006D327D">
        <w:rPr>
          <w:bCs/>
          <w:i/>
          <w:color w:val="000000"/>
          <w:sz w:val="23"/>
          <w:szCs w:val="23"/>
          <w:lang w:eastAsia="pt-BR"/>
        </w:rPr>
        <w:t xml:space="preserve"> </w:t>
      </w:r>
      <w:r w:rsidR="00490E0B" w:rsidRPr="006D327D">
        <w:rPr>
          <w:bCs/>
          <w:color w:val="000000"/>
          <w:sz w:val="23"/>
          <w:szCs w:val="23"/>
          <w:lang w:eastAsia="pt-BR"/>
        </w:rPr>
        <w:t>(NR)</w:t>
      </w:r>
    </w:p>
    <w:p w:rsidR="009075BE" w:rsidRPr="006D327D" w:rsidRDefault="00490E0B" w:rsidP="00BB293A">
      <w:pPr>
        <w:jc w:val="both"/>
        <w:rPr>
          <w:sz w:val="23"/>
          <w:szCs w:val="23"/>
        </w:rPr>
      </w:pPr>
      <w:r w:rsidRPr="006D327D">
        <w:rPr>
          <w:sz w:val="23"/>
          <w:szCs w:val="23"/>
        </w:rPr>
        <w:t xml:space="preserve">Art. </w:t>
      </w:r>
      <w:r w:rsidR="00454A11" w:rsidRPr="006D327D">
        <w:rPr>
          <w:sz w:val="23"/>
          <w:szCs w:val="23"/>
        </w:rPr>
        <w:t>2</w:t>
      </w:r>
      <w:r w:rsidR="006F5FB1" w:rsidRPr="006D327D">
        <w:rPr>
          <w:sz w:val="23"/>
          <w:szCs w:val="23"/>
        </w:rPr>
        <w:t>º Esta Resolução entra em vigor na data de sua publicação.</w:t>
      </w:r>
    </w:p>
    <w:p w:rsidR="00712371" w:rsidRPr="006D327D" w:rsidRDefault="00712371" w:rsidP="00BB293A">
      <w:pPr>
        <w:jc w:val="both"/>
        <w:rPr>
          <w:sz w:val="23"/>
          <w:szCs w:val="23"/>
        </w:rPr>
      </w:pPr>
    </w:p>
    <w:p w:rsidR="00BB293A" w:rsidRPr="006D327D" w:rsidRDefault="00BB293A" w:rsidP="00BB293A">
      <w:pPr>
        <w:pStyle w:val="western"/>
        <w:spacing w:before="0" w:after="0"/>
        <w:jc w:val="both"/>
        <w:rPr>
          <w:color w:val="00000A"/>
          <w:sz w:val="23"/>
          <w:szCs w:val="23"/>
          <w:lang w:eastAsia="pt-BR"/>
        </w:rPr>
      </w:pPr>
      <w:r w:rsidRPr="006D327D">
        <w:rPr>
          <w:color w:val="00000A"/>
          <w:sz w:val="23"/>
          <w:szCs w:val="23"/>
          <w:lang w:eastAsia="pt-BR"/>
        </w:rPr>
        <w:t xml:space="preserve">Sala de Reuniões do Conselho Superior da Defensoria Pública do Estado, aos </w:t>
      </w:r>
      <w:r w:rsidR="00490E0B" w:rsidRPr="006D327D">
        <w:rPr>
          <w:color w:val="00000A"/>
          <w:sz w:val="23"/>
          <w:szCs w:val="23"/>
          <w:lang w:eastAsia="pt-BR"/>
        </w:rPr>
        <w:t>vinte e cinco</w:t>
      </w:r>
      <w:r w:rsidRPr="006D327D">
        <w:rPr>
          <w:color w:val="00000A"/>
          <w:sz w:val="23"/>
          <w:szCs w:val="23"/>
          <w:lang w:eastAsia="pt-BR"/>
        </w:rPr>
        <w:t xml:space="preserve"> dias do mês de </w:t>
      </w:r>
      <w:r w:rsidR="00490E0B" w:rsidRPr="006D327D">
        <w:rPr>
          <w:color w:val="00000A"/>
          <w:sz w:val="23"/>
          <w:szCs w:val="23"/>
          <w:lang w:eastAsia="pt-BR"/>
        </w:rPr>
        <w:t>outubro</w:t>
      </w:r>
      <w:r w:rsidRPr="006D327D">
        <w:rPr>
          <w:color w:val="00000A"/>
          <w:sz w:val="23"/>
          <w:szCs w:val="23"/>
          <w:lang w:eastAsia="pt-BR"/>
        </w:rPr>
        <w:t xml:space="preserve"> do ano de dois mil e dezoito.</w:t>
      </w:r>
    </w:p>
    <w:p w:rsidR="00BB293A" w:rsidRPr="006D327D" w:rsidRDefault="00BB293A" w:rsidP="00BB293A">
      <w:pPr>
        <w:pStyle w:val="western"/>
        <w:spacing w:before="0" w:after="0"/>
        <w:jc w:val="both"/>
        <w:rPr>
          <w:color w:val="00000A"/>
          <w:sz w:val="23"/>
          <w:szCs w:val="23"/>
          <w:lang w:eastAsia="pt-BR"/>
        </w:rPr>
      </w:pPr>
    </w:p>
    <w:p w:rsidR="00BB293A" w:rsidRPr="006D327D" w:rsidRDefault="00BB293A" w:rsidP="00BB293A">
      <w:pPr>
        <w:pStyle w:val="western"/>
        <w:spacing w:before="0" w:after="0"/>
        <w:jc w:val="both"/>
        <w:rPr>
          <w:color w:val="00000A"/>
          <w:sz w:val="23"/>
          <w:szCs w:val="23"/>
          <w:lang w:eastAsia="pt-BR"/>
        </w:rPr>
      </w:pPr>
    </w:p>
    <w:p w:rsidR="00490E0B" w:rsidRPr="006D327D" w:rsidRDefault="00490E0B" w:rsidP="00490E0B">
      <w:pPr>
        <w:jc w:val="both"/>
        <w:rPr>
          <w:sz w:val="23"/>
          <w:szCs w:val="23"/>
        </w:rPr>
      </w:pPr>
      <w:r w:rsidRPr="006D327D">
        <w:rPr>
          <w:sz w:val="23"/>
          <w:szCs w:val="23"/>
        </w:rPr>
        <w:t>JENIFFER DE BARROS RODRIGUES</w:t>
      </w:r>
    </w:p>
    <w:p w:rsidR="00490E0B" w:rsidRPr="006D327D" w:rsidRDefault="00490E0B" w:rsidP="00490E0B">
      <w:pPr>
        <w:jc w:val="both"/>
        <w:rPr>
          <w:sz w:val="23"/>
          <w:szCs w:val="23"/>
        </w:rPr>
      </w:pPr>
      <w:r w:rsidRPr="006D327D">
        <w:rPr>
          <w:sz w:val="23"/>
          <w:szCs w:val="23"/>
        </w:rPr>
        <w:t>Presidente do Conselho Superior</w:t>
      </w:r>
    </w:p>
    <w:p w:rsidR="00490E0B" w:rsidRPr="006D327D" w:rsidRDefault="00490E0B" w:rsidP="00490E0B">
      <w:pPr>
        <w:jc w:val="both"/>
        <w:rPr>
          <w:sz w:val="23"/>
          <w:szCs w:val="23"/>
        </w:rPr>
      </w:pPr>
      <w:r w:rsidRPr="006D327D">
        <w:rPr>
          <w:sz w:val="23"/>
          <w:szCs w:val="23"/>
        </w:rPr>
        <w:t>Defensora Pública-Geral</w:t>
      </w:r>
    </w:p>
    <w:p w:rsidR="00490E0B" w:rsidRPr="006D327D" w:rsidRDefault="00490E0B" w:rsidP="00490E0B">
      <w:pPr>
        <w:jc w:val="both"/>
        <w:rPr>
          <w:sz w:val="23"/>
          <w:szCs w:val="23"/>
        </w:rPr>
      </w:pPr>
      <w:r w:rsidRPr="006D327D">
        <w:rPr>
          <w:sz w:val="23"/>
          <w:szCs w:val="23"/>
        </w:rPr>
        <w:t>Membro Nato</w:t>
      </w:r>
    </w:p>
    <w:p w:rsidR="00490E0B" w:rsidRPr="006D327D" w:rsidRDefault="00490E0B" w:rsidP="00490E0B">
      <w:pPr>
        <w:jc w:val="both"/>
        <w:rPr>
          <w:sz w:val="23"/>
          <w:szCs w:val="23"/>
        </w:rPr>
      </w:pPr>
    </w:p>
    <w:p w:rsidR="00490E0B" w:rsidRPr="006D327D" w:rsidRDefault="00490E0B" w:rsidP="00490E0B">
      <w:pPr>
        <w:jc w:val="both"/>
        <w:rPr>
          <w:sz w:val="23"/>
          <w:szCs w:val="23"/>
        </w:rPr>
      </w:pPr>
    </w:p>
    <w:p w:rsidR="00490E0B" w:rsidRPr="006D327D" w:rsidRDefault="00490E0B" w:rsidP="00490E0B">
      <w:pPr>
        <w:jc w:val="both"/>
        <w:rPr>
          <w:sz w:val="23"/>
          <w:szCs w:val="23"/>
        </w:rPr>
      </w:pPr>
      <w:r w:rsidRPr="006D327D">
        <w:rPr>
          <w:sz w:val="23"/>
          <w:szCs w:val="23"/>
        </w:rPr>
        <w:t>VLADIMIR AUGUSTO DE CARVALHO LOBO E AVELINO KOENIG</w:t>
      </w:r>
    </w:p>
    <w:p w:rsidR="00490E0B" w:rsidRPr="006D327D" w:rsidRDefault="00490E0B" w:rsidP="00490E0B">
      <w:pPr>
        <w:jc w:val="both"/>
        <w:rPr>
          <w:sz w:val="23"/>
          <w:szCs w:val="23"/>
        </w:rPr>
      </w:pPr>
      <w:r w:rsidRPr="006D327D">
        <w:rPr>
          <w:sz w:val="23"/>
          <w:szCs w:val="23"/>
        </w:rPr>
        <w:t>Subdefensor Público-Geral</w:t>
      </w:r>
    </w:p>
    <w:p w:rsidR="00490E0B" w:rsidRPr="006D327D" w:rsidRDefault="00490E0B" w:rsidP="00490E0B">
      <w:pPr>
        <w:jc w:val="both"/>
        <w:rPr>
          <w:sz w:val="23"/>
          <w:szCs w:val="23"/>
        </w:rPr>
      </w:pPr>
      <w:r w:rsidRPr="006D327D">
        <w:rPr>
          <w:sz w:val="23"/>
          <w:szCs w:val="23"/>
        </w:rPr>
        <w:t>Membro Nato</w:t>
      </w:r>
    </w:p>
    <w:p w:rsidR="00490E0B" w:rsidRPr="006D327D" w:rsidRDefault="00490E0B" w:rsidP="00490E0B">
      <w:pPr>
        <w:jc w:val="both"/>
        <w:rPr>
          <w:sz w:val="23"/>
          <w:szCs w:val="23"/>
        </w:rPr>
      </w:pPr>
    </w:p>
    <w:p w:rsidR="00490E0B" w:rsidRPr="006D327D" w:rsidRDefault="00490E0B" w:rsidP="00490E0B">
      <w:pPr>
        <w:jc w:val="both"/>
        <w:rPr>
          <w:sz w:val="23"/>
          <w:szCs w:val="23"/>
        </w:rPr>
      </w:pPr>
    </w:p>
    <w:p w:rsidR="00490E0B" w:rsidRPr="006D327D" w:rsidRDefault="00490E0B" w:rsidP="00490E0B">
      <w:pPr>
        <w:jc w:val="both"/>
        <w:rPr>
          <w:sz w:val="23"/>
          <w:szCs w:val="23"/>
        </w:rPr>
      </w:pPr>
      <w:r w:rsidRPr="006D327D">
        <w:rPr>
          <w:sz w:val="23"/>
          <w:szCs w:val="23"/>
        </w:rPr>
        <w:t>CESÁR AUGUSTO ASSAD</w:t>
      </w:r>
    </w:p>
    <w:p w:rsidR="00490E0B" w:rsidRPr="006D327D" w:rsidRDefault="00490E0B" w:rsidP="00490E0B">
      <w:pPr>
        <w:jc w:val="both"/>
        <w:rPr>
          <w:sz w:val="23"/>
          <w:szCs w:val="23"/>
        </w:rPr>
      </w:pPr>
      <w:r w:rsidRPr="006D327D">
        <w:rPr>
          <w:sz w:val="23"/>
          <w:szCs w:val="23"/>
        </w:rPr>
        <w:t>Corregedor-Geral</w:t>
      </w:r>
    </w:p>
    <w:p w:rsidR="00490E0B" w:rsidRPr="006D327D" w:rsidRDefault="00490E0B" w:rsidP="00490E0B">
      <w:pPr>
        <w:jc w:val="both"/>
        <w:rPr>
          <w:sz w:val="23"/>
          <w:szCs w:val="23"/>
        </w:rPr>
      </w:pPr>
      <w:r w:rsidRPr="006D327D">
        <w:rPr>
          <w:sz w:val="23"/>
          <w:szCs w:val="23"/>
        </w:rPr>
        <w:t>Membro Nato</w:t>
      </w:r>
    </w:p>
    <w:p w:rsidR="00490E0B" w:rsidRPr="006D327D" w:rsidRDefault="00490E0B" w:rsidP="00490E0B">
      <w:pPr>
        <w:jc w:val="both"/>
        <w:rPr>
          <w:sz w:val="23"/>
          <w:szCs w:val="23"/>
        </w:rPr>
      </w:pPr>
    </w:p>
    <w:p w:rsidR="00490E0B" w:rsidRPr="006D327D" w:rsidRDefault="00490E0B" w:rsidP="00490E0B">
      <w:pPr>
        <w:jc w:val="both"/>
        <w:rPr>
          <w:sz w:val="23"/>
          <w:szCs w:val="23"/>
        </w:rPr>
      </w:pPr>
    </w:p>
    <w:p w:rsidR="00490E0B" w:rsidRPr="006D327D" w:rsidRDefault="00490E0B" w:rsidP="00490E0B">
      <w:pPr>
        <w:jc w:val="both"/>
        <w:rPr>
          <w:sz w:val="23"/>
          <w:szCs w:val="23"/>
        </w:rPr>
      </w:pPr>
      <w:r w:rsidRPr="006D327D">
        <w:rPr>
          <w:sz w:val="23"/>
          <w:szCs w:val="23"/>
        </w:rPr>
        <w:t>BRUNO BRAGA CAVALCANTE</w:t>
      </w:r>
    </w:p>
    <w:p w:rsidR="00490E0B" w:rsidRPr="006D327D" w:rsidRDefault="00490E0B" w:rsidP="00490E0B">
      <w:pPr>
        <w:jc w:val="both"/>
        <w:rPr>
          <w:sz w:val="23"/>
          <w:szCs w:val="23"/>
        </w:rPr>
      </w:pPr>
      <w:r w:rsidRPr="006D327D">
        <w:rPr>
          <w:sz w:val="23"/>
          <w:szCs w:val="23"/>
        </w:rPr>
        <w:t>Membro Titular</w:t>
      </w:r>
    </w:p>
    <w:p w:rsidR="00490E0B" w:rsidRPr="006D327D" w:rsidRDefault="00490E0B" w:rsidP="00490E0B">
      <w:pPr>
        <w:jc w:val="both"/>
        <w:rPr>
          <w:sz w:val="23"/>
          <w:szCs w:val="23"/>
        </w:rPr>
      </w:pPr>
    </w:p>
    <w:p w:rsidR="00490E0B" w:rsidRPr="006D327D" w:rsidRDefault="00490E0B" w:rsidP="00490E0B">
      <w:pPr>
        <w:jc w:val="both"/>
        <w:rPr>
          <w:sz w:val="23"/>
          <w:szCs w:val="23"/>
        </w:rPr>
      </w:pPr>
    </w:p>
    <w:p w:rsidR="00490E0B" w:rsidRPr="006D327D" w:rsidRDefault="00490E0B" w:rsidP="00490E0B">
      <w:pPr>
        <w:jc w:val="both"/>
        <w:rPr>
          <w:sz w:val="23"/>
          <w:szCs w:val="23"/>
        </w:rPr>
      </w:pPr>
      <w:r w:rsidRPr="006D327D">
        <w:rPr>
          <w:sz w:val="23"/>
          <w:szCs w:val="23"/>
        </w:rPr>
        <w:t>ANNA IZABEL E SILVA SANTOS</w:t>
      </w:r>
    </w:p>
    <w:p w:rsidR="00490E0B" w:rsidRPr="006D327D" w:rsidRDefault="00490E0B" w:rsidP="00490E0B">
      <w:pPr>
        <w:jc w:val="both"/>
        <w:rPr>
          <w:sz w:val="23"/>
          <w:szCs w:val="23"/>
        </w:rPr>
      </w:pPr>
      <w:r w:rsidRPr="006D327D">
        <w:rPr>
          <w:sz w:val="23"/>
          <w:szCs w:val="23"/>
        </w:rPr>
        <w:t>Membro Titular</w:t>
      </w:r>
    </w:p>
    <w:p w:rsidR="00490E0B" w:rsidRPr="006D327D" w:rsidRDefault="00490E0B" w:rsidP="00490E0B">
      <w:pPr>
        <w:jc w:val="both"/>
        <w:rPr>
          <w:sz w:val="23"/>
          <w:szCs w:val="23"/>
        </w:rPr>
      </w:pPr>
    </w:p>
    <w:p w:rsidR="00490E0B" w:rsidRPr="006D327D" w:rsidRDefault="00490E0B" w:rsidP="00490E0B">
      <w:pPr>
        <w:jc w:val="both"/>
        <w:rPr>
          <w:sz w:val="23"/>
          <w:szCs w:val="23"/>
        </w:rPr>
      </w:pPr>
    </w:p>
    <w:p w:rsidR="00490E0B" w:rsidRPr="006D327D" w:rsidRDefault="00490E0B" w:rsidP="00490E0B">
      <w:pPr>
        <w:jc w:val="both"/>
        <w:rPr>
          <w:sz w:val="23"/>
          <w:szCs w:val="23"/>
        </w:rPr>
      </w:pPr>
      <w:r w:rsidRPr="006D327D">
        <w:rPr>
          <w:sz w:val="23"/>
          <w:szCs w:val="23"/>
        </w:rPr>
        <w:t>WALTER AUGUSTO BARRETO TEIXEIRA</w:t>
      </w:r>
    </w:p>
    <w:p w:rsidR="004C780D" w:rsidRPr="006D327D" w:rsidRDefault="00490E0B" w:rsidP="006D327D">
      <w:pPr>
        <w:jc w:val="both"/>
        <w:rPr>
          <w:sz w:val="23"/>
          <w:szCs w:val="23"/>
        </w:rPr>
      </w:pPr>
      <w:r w:rsidRPr="006D327D">
        <w:rPr>
          <w:sz w:val="23"/>
          <w:szCs w:val="23"/>
        </w:rPr>
        <w:t>Membro Titular</w:t>
      </w:r>
    </w:p>
    <w:sectPr w:rsidR="004C780D" w:rsidRPr="006D327D" w:rsidSect="006D327D">
      <w:headerReference w:type="default" r:id="rId7"/>
      <w:pgSz w:w="11906" w:h="16838"/>
      <w:pgMar w:top="851" w:right="1134" w:bottom="851" w:left="1304" w:header="425"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3B5E" w:rsidRDefault="00983B5E">
      <w:r>
        <w:separator/>
      </w:r>
    </w:p>
  </w:endnote>
  <w:endnote w:type="continuationSeparator" w:id="0">
    <w:p w:rsidR="00983B5E" w:rsidRDefault="00983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Arial Unicode MS">
    <w:altName w:val="Times New Roman"/>
    <w:panose1 w:val="00000000000000000000"/>
    <w:charset w:val="00"/>
    <w:family w:val="roman"/>
    <w:notTrueType/>
    <w:pitch w:val="default"/>
  </w:font>
  <w:font w:name="Liberation Sans;Arial">
    <w:altName w:val="Times New Roman"/>
    <w:panose1 w:val="00000000000000000000"/>
    <w:charset w:val="00"/>
    <w:family w:val="roman"/>
    <w:notTrueType/>
    <w:pitch w:val="default"/>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3B5E" w:rsidRDefault="00983B5E">
      <w:r>
        <w:separator/>
      </w:r>
    </w:p>
  </w:footnote>
  <w:footnote w:type="continuationSeparator" w:id="0">
    <w:p w:rsidR="00983B5E" w:rsidRDefault="00983B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F93" w:rsidRDefault="00DC17D3">
    <w:pPr>
      <w:pStyle w:val="Cabealho"/>
      <w:jc w:val="center"/>
      <w:rPr>
        <w:rFonts w:ascii="Arial" w:hAnsi="Arial" w:cs="Arial"/>
        <w:b/>
        <w:sz w:val="22"/>
        <w:szCs w:val="22"/>
      </w:rPr>
    </w:pPr>
    <w:r>
      <w:rPr>
        <w:noProof/>
        <w:lang w:eastAsia="pt-BR"/>
      </w:rPr>
      <w:drawing>
        <wp:inline distT="0" distB="0" distL="0" distR="0" wp14:anchorId="61E3EBA0" wp14:editId="7FD34910">
          <wp:extent cx="533400" cy="664574"/>
          <wp:effectExtent l="0" t="0" r="0" b="2540"/>
          <wp:docPr id="5" name="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pic:cNvPicPr>
                    <a:picLocks noChangeAspect="1" noChangeArrowheads="1"/>
                  </pic:cNvPicPr>
                </pic:nvPicPr>
                <pic:blipFill>
                  <a:blip r:embed="rId1"/>
                  <a:stretch>
                    <a:fillRect/>
                  </a:stretch>
                </pic:blipFill>
                <pic:spPr bwMode="auto">
                  <a:xfrm>
                    <a:off x="0" y="0"/>
                    <a:ext cx="543530" cy="677195"/>
                  </a:xfrm>
                  <a:prstGeom prst="rect">
                    <a:avLst/>
                  </a:prstGeom>
                </pic:spPr>
              </pic:pic>
            </a:graphicData>
          </a:graphic>
        </wp:inline>
      </w:drawing>
    </w:r>
  </w:p>
  <w:p w:rsidR="009B0F93" w:rsidRPr="006D327D" w:rsidRDefault="00DC17D3">
    <w:pPr>
      <w:pStyle w:val="Cabealho"/>
      <w:jc w:val="center"/>
      <w:rPr>
        <w:b/>
        <w:sz w:val="22"/>
        <w:szCs w:val="22"/>
      </w:rPr>
    </w:pPr>
    <w:r w:rsidRPr="006D327D">
      <w:rPr>
        <w:b/>
        <w:sz w:val="22"/>
        <w:szCs w:val="22"/>
      </w:rPr>
      <w:t>ESTADO DO PARÁ</w:t>
    </w:r>
  </w:p>
  <w:p w:rsidR="009B0F93" w:rsidRPr="006D327D" w:rsidRDefault="00DC17D3">
    <w:pPr>
      <w:pStyle w:val="Cabealho"/>
      <w:jc w:val="center"/>
      <w:rPr>
        <w:b/>
        <w:sz w:val="22"/>
        <w:szCs w:val="22"/>
      </w:rPr>
    </w:pPr>
    <w:r w:rsidRPr="006D327D">
      <w:rPr>
        <w:b/>
        <w:sz w:val="22"/>
        <w:szCs w:val="22"/>
      </w:rPr>
      <w:t>DEFENSORIA PÚBLICA</w:t>
    </w:r>
  </w:p>
  <w:p w:rsidR="009B0F93" w:rsidRPr="006D327D" w:rsidRDefault="00DC17D3">
    <w:pPr>
      <w:pStyle w:val="Cabealho"/>
      <w:jc w:val="center"/>
      <w:rPr>
        <w:b/>
        <w:sz w:val="22"/>
        <w:szCs w:val="22"/>
      </w:rPr>
    </w:pPr>
    <w:r w:rsidRPr="006D327D">
      <w:rPr>
        <w:b/>
        <w:sz w:val="22"/>
        <w:szCs w:val="22"/>
      </w:rPr>
      <w:t>CONSELHO SUPERIOR</w:t>
    </w:r>
  </w:p>
  <w:p w:rsidR="00F9339B" w:rsidRPr="006D327D" w:rsidRDefault="00F9339B">
    <w:pPr>
      <w:pStyle w:val="Cabealho"/>
      <w:jc w:val="center"/>
      <w:rPr>
        <w:b/>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F93"/>
    <w:rsid w:val="000648DB"/>
    <w:rsid w:val="000660B7"/>
    <w:rsid w:val="00105513"/>
    <w:rsid w:val="00111C89"/>
    <w:rsid w:val="001472A7"/>
    <w:rsid w:val="00153D2B"/>
    <w:rsid w:val="001706C4"/>
    <w:rsid w:val="00176355"/>
    <w:rsid w:val="00210849"/>
    <w:rsid w:val="0023663D"/>
    <w:rsid w:val="0027103D"/>
    <w:rsid w:val="002C7B5C"/>
    <w:rsid w:val="002E43CB"/>
    <w:rsid w:val="002E47E7"/>
    <w:rsid w:val="0037047B"/>
    <w:rsid w:val="00402662"/>
    <w:rsid w:val="00421EAB"/>
    <w:rsid w:val="00453C81"/>
    <w:rsid w:val="00454A11"/>
    <w:rsid w:val="00490E0B"/>
    <w:rsid w:val="004C7086"/>
    <w:rsid w:val="004C780D"/>
    <w:rsid w:val="005165EF"/>
    <w:rsid w:val="00523BDB"/>
    <w:rsid w:val="00541365"/>
    <w:rsid w:val="005D5261"/>
    <w:rsid w:val="005D60F3"/>
    <w:rsid w:val="006D327D"/>
    <w:rsid w:val="006F5FB1"/>
    <w:rsid w:val="00712371"/>
    <w:rsid w:val="00764A16"/>
    <w:rsid w:val="007B1473"/>
    <w:rsid w:val="00824705"/>
    <w:rsid w:val="00846250"/>
    <w:rsid w:val="009075BE"/>
    <w:rsid w:val="009730D4"/>
    <w:rsid w:val="00983B5E"/>
    <w:rsid w:val="009A2B51"/>
    <w:rsid w:val="009B0F93"/>
    <w:rsid w:val="00A9615B"/>
    <w:rsid w:val="00AC6724"/>
    <w:rsid w:val="00AD26ED"/>
    <w:rsid w:val="00AD5AA8"/>
    <w:rsid w:val="00B26BD9"/>
    <w:rsid w:val="00BB097F"/>
    <w:rsid w:val="00BB293A"/>
    <w:rsid w:val="00BC592D"/>
    <w:rsid w:val="00C66093"/>
    <w:rsid w:val="00CD3C93"/>
    <w:rsid w:val="00D0007A"/>
    <w:rsid w:val="00DB2C5C"/>
    <w:rsid w:val="00DC17D3"/>
    <w:rsid w:val="00ED6F65"/>
    <w:rsid w:val="00EE5E33"/>
    <w:rsid w:val="00F20EAA"/>
    <w:rsid w:val="00F4188A"/>
    <w:rsid w:val="00F44358"/>
    <w:rsid w:val="00F51635"/>
    <w:rsid w:val="00F9339B"/>
    <w:rsid w:val="00FD177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EA806F5-93E4-41D3-BE27-06D57538F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szCs w:val="24"/>
        <w:lang w:val="pt-BR"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Times New Roman" w:eastAsia="Times New Roman" w:hAnsi="Times New Roman" w:cs="Times New Roman"/>
      <w:sz w:val="24"/>
      <w:lang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Fontepargpadro1">
    <w:name w:val="Fonte parág. padrão1"/>
    <w:qFormat/>
  </w:style>
  <w:style w:type="character" w:customStyle="1" w:styleId="TextodebaloChar">
    <w:name w:val="Texto de balão Char"/>
    <w:qFormat/>
    <w:rPr>
      <w:rFonts w:ascii="Tahoma" w:hAnsi="Tahoma" w:cs="Tahoma"/>
      <w:sz w:val="16"/>
      <w:szCs w:val="16"/>
      <w:lang w:val="pt-BR"/>
    </w:rPr>
  </w:style>
  <w:style w:type="character" w:customStyle="1" w:styleId="Marcas">
    <w:name w:val="Marcas"/>
    <w:qFormat/>
    <w:rPr>
      <w:rFonts w:ascii="OpenSymbol;Arial Unicode MS" w:eastAsia="OpenSymbol;Arial Unicode MS" w:hAnsi="OpenSymbol;Arial Unicode MS" w:cs="OpenSymbol;Arial Unicode MS"/>
    </w:rPr>
  </w:style>
  <w:style w:type="paragraph" w:styleId="Ttulo">
    <w:name w:val="Title"/>
    <w:basedOn w:val="Normal"/>
    <w:next w:val="Corpodetexto"/>
    <w:qFormat/>
    <w:pPr>
      <w:keepNext/>
      <w:spacing w:before="240" w:after="120"/>
    </w:pPr>
    <w:rPr>
      <w:rFonts w:ascii="Liberation Sans;Arial" w:eastAsia="Microsoft YaHei" w:hAnsi="Liberation Sans;Arial" w:cs="Mangal"/>
      <w:sz w:val="28"/>
      <w:szCs w:val="28"/>
    </w:rPr>
  </w:style>
  <w:style w:type="paragraph" w:styleId="Corpodetexto">
    <w:name w:val="Body Text"/>
    <w:basedOn w:val="Normal"/>
    <w:pPr>
      <w:spacing w:after="140" w:line="288" w:lineRule="auto"/>
    </w:pPr>
  </w:style>
  <w:style w:type="paragraph" w:styleId="Lista">
    <w:name w:val="List"/>
    <w:basedOn w:val="Corpodetexto"/>
    <w:rPr>
      <w:rFonts w:cs="Mangal"/>
    </w:rPr>
  </w:style>
  <w:style w:type="paragraph" w:styleId="Legenda">
    <w:name w:val="caption"/>
    <w:basedOn w:val="Normal"/>
    <w:pPr>
      <w:suppressLineNumbers/>
      <w:spacing w:before="120" w:after="120"/>
    </w:pPr>
    <w:rPr>
      <w:rFonts w:cs="Mangal"/>
      <w:i/>
      <w:iCs/>
    </w:rPr>
  </w:style>
  <w:style w:type="paragraph" w:customStyle="1" w:styleId="ndice">
    <w:name w:val="Índice"/>
    <w:basedOn w:val="Normal"/>
    <w:qFormat/>
    <w:pPr>
      <w:suppressLineNumbers/>
    </w:pPr>
    <w:rPr>
      <w:rFonts w:cs="Mangal"/>
    </w:rPr>
  </w:style>
  <w:style w:type="paragraph" w:customStyle="1" w:styleId="Ttulo1">
    <w:name w:val="Título1"/>
    <w:basedOn w:val="Normal"/>
    <w:next w:val="Corpodetexto"/>
    <w:qFormat/>
    <w:pPr>
      <w:keepNext/>
      <w:spacing w:before="240" w:after="120"/>
    </w:pPr>
    <w:rPr>
      <w:rFonts w:ascii="Liberation Sans;Arial" w:eastAsia="Microsoft YaHei" w:hAnsi="Liberation Sans;Arial" w:cs="Mangal"/>
      <w:sz w:val="28"/>
      <w:szCs w:val="28"/>
    </w:rPr>
  </w:style>
  <w:style w:type="paragraph" w:styleId="Cabealho">
    <w:name w:val="header"/>
    <w:basedOn w:val="Normal"/>
    <w:link w:val="CabealhoChar"/>
    <w:pPr>
      <w:tabs>
        <w:tab w:val="center" w:pos="4252"/>
        <w:tab w:val="right" w:pos="8504"/>
      </w:tabs>
    </w:pPr>
  </w:style>
  <w:style w:type="paragraph" w:styleId="Rodap">
    <w:name w:val="footer"/>
    <w:basedOn w:val="Normal"/>
    <w:pPr>
      <w:tabs>
        <w:tab w:val="center" w:pos="4252"/>
        <w:tab w:val="right" w:pos="8504"/>
      </w:tabs>
    </w:pPr>
  </w:style>
  <w:style w:type="paragraph" w:styleId="NormalWeb">
    <w:name w:val="Normal (Web)"/>
    <w:basedOn w:val="Normal"/>
    <w:qFormat/>
    <w:pPr>
      <w:spacing w:before="280" w:after="280"/>
    </w:pPr>
  </w:style>
  <w:style w:type="paragraph" w:styleId="Textodebalo">
    <w:name w:val="Balloon Text"/>
    <w:basedOn w:val="Normal"/>
    <w:qFormat/>
    <w:rPr>
      <w:rFonts w:ascii="Tahoma" w:hAnsi="Tahoma" w:cs="Tahoma"/>
      <w:sz w:val="16"/>
      <w:szCs w:val="16"/>
    </w:rPr>
  </w:style>
  <w:style w:type="paragraph" w:customStyle="1" w:styleId="Estilo">
    <w:name w:val="Estilo"/>
    <w:qFormat/>
    <w:pPr>
      <w:widowControl w:val="0"/>
      <w:suppressAutoHyphens/>
      <w:autoSpaceDE w:val="0"/>
    </w:pPr>
    <w:rPr>
      <w:rFonts w:ascii="Arial" w:eastAsia="Times New Roman" w:hAnsi="Arial" w:cs="Arial"/>
      <w:sz w:val="24"/>
      <w:lang w:bidi="ar-SA"/>
    </w:rPr>
  </w:style>
  <w:style w:type="paragraph" w:customStyle="1" w:styleId="western">
    <w:name w:val="western"/>
    <w:basedOn w:val="Normal"/>
    <w:qFormat/>
    <w:rsid w:val="00523BDB"/>
    <w:pPr>
      <w:spacing w:before="280" w:after="280"/>
    </w:pPr>
    <w:rPr>
      <w:noProof/>
    </w:rPr>
  </w:style>
  <w:style w:type="character" w:customStyle="1" w:styleId="CabealhoChar">
    <w:name w:val="Cabeçalho Char"/>
    <w:basedOn w:val="Fontepargpadro"/>
    <w:link w:val="Cabealho"/>
    <w:rsid w:val="009075BE"/>
    <w:rPr>
      <w:rFonts w:ascii="Times New Roman" w:eastAsia="Times New Roman" w:hAnsi="Times New Roman" w:cs="Times New Roman"/>
      <w:sz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137490">
      <w:bodyDiv w:val="1"/>
      <w:marLeft w:val="0"/>
      <w:marRight w:val="0"/>
      <w:marTop w:val="0"/>
      <w:marBottom w:val="0"/>
      <w:divBdr>
        <w:top w:val="none" w:sz="0" w:space="0" w:color="auto"/>
        <w:left w:val="none" w:sz="0" w:space="0" w:color="auto"/>
        <w:bottom w:val="none" w:sz="0" w:space="0" w:color="auto"/>
        <w:right w:val="none" w:sz="0" w:space="0" w:color="auto"/>
      </w:divBdr>
      <w:divsChild>
        <w:div w:id="1625192691">
          <w:marLeft w:val="0"/>
          <w:marRight w:val="0"/>
          <w:marTop w:val="0"/>
          <w:marBottom w:val="0"/>
          <w:divBdr>
            <w:top w:val="none" w:sz="0" w:space="0" w:color="auto"/>
            <w:left w:val="none" w:sz="0" w:space="0" w:color="auto"/>
            <w:bottom w:val="none" w:sz="0" w:space="0" w:color="auto"/>
            <w:right w:val="none" w:sz="0" w:space="0" w:color="auto"/>
          </w:divBdr>
        </w:div>
        <w:div w:id="597904970">
          <w:marLeft w:val="0"/>
          <w:marRight w:val="0"/>
          <w:marTop w:val="0"/>
          <w:marBottom w:val="0"/>
          <w:divBdr>
            <w:top w:val="none" w:sz="0" w:space="0" w:color="auto"/>
            <w:left w:val="none" w:sz="0" w:space="0" w:color="auto"/>
            <w:bottom w:val="none" w:sz="0" w:space="0" w:color="auto"/>
            <w:right w:val="none" w:sz="0" w:space="0" w:color="auto"/>
          </w:divBdr>
        </w:div>
      </w:divsChild>
    </w:div>
    <w:div w:id="371657176">
      <w:bodyDiv w:val="1"/>
      <w:marLeft w:val="0"/>
      <w:marRight w:val="0"/>
      <w:marTop w:val="0"/>
      <w:marBottom w:val="0"/>
      <w:divBdr>
        <w:top w:val="none" w:sz="0" w:space="0" w:color="auto"/>
        <w:left w:val="none" w:sz="0" w:space="0" w:color="auto"/>
        <w:bottom w:val="none" w:sz="0" w:space="0" w:color="auto"/>
        <w:right w:val="none" w:sz="0" w:space="0" w:color="auto"/>
      </w:divBdr>
    </w:div>
    <w:div w:id="21290807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2DF7E5-FF25-4107-9E85-E8DE64CD9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686</Words>
  <Characters>3707</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defensoria</dc:creator>
  <cp:lastModifiedBy>Pedro Queiroz</cp:lastModifiedBy>
  <cp:revision>2</cp:revision>
  <cp:lastPrinted>2019-11-13T13:55:00Z</cp:lastPrinted>
  <dcterms:created xsi:type="dcterms:W3CDTF">2019-11-13T13:59:00Z</dcterms:created>
  <dcterms:modified xsi:type="dcterms:W3CDTF">2019-11-13T13:59:00Z</dcterms:modified>
  <dc:language>pt-BR</dc:language>
</cp:coreProperties>
</file>